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2832CE" w:rsidRPr="00DE3C3A" w14:paraId="228900E6" w14:textId="77777777" w:rsidTr="004867D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5E951402" w14:textId="77777777" w:rsidR="002832CE" w:rsidRPr="00DF2924" w:rsidRDefault="002832CE" w:rsidP="004867D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182D725C" w14:textId="77777777" w:rsidR="002832CE" w:rsidRPr="00DF2924" w:rsidRDefault="002832CE" w:rsidP="004867D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30</w:t>
            </w: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červ</w:t>
            </w:r>
            <w:r w:rsidRPr="00DF2924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>na 2026</w:t>
            </w:r>
          </w:p>
        </w:tc>
      </w:tr>
    </w:tbl>
    <w:p w14:paraId="7CF44A59" w14:textId="77777777" w:rsidR="002832CE" w:rsidRDefault="002832CE" w:rsidP="002832CE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42D52D85" w14:textId="77777777" w:rsidR="002832CE" w:rsidRDefault="002832CE" w:rsidP="002832CE">
      <w:pPr>
        <w:spacing w:after="0" w:line="320" w:lineRule="atLeast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200D278A">
        <w:rPr>
          <w:rFonts w:ascii="Arial" w:hAnsi="Arial" w:cs="Arial"/>
          <w:b/>
          <w:bCs/>
          <w:sz w:val="28"/>
          <w:szCs w:val="28"/>
          <w:lang w:eastAsia="cs-CZ"/>
        </w:rPr>
        <w:t>Co nejméně placených kilometrů: jak nabíjet elektromobil chytře, ne draze</w:t>
      </w:r>
    </w:p>
    <w:p w14:paraId="07402475" w14:textId="77777777" w:rsidR="002832CE" w:rsidRPr="00FF2E3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2C34783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6D5A70">
        <w:rPr>
          <w:rFonts w:ascii="Arial" w:hAnsi="Arial" w:cs="Arial"/>
          <w:b/>
          <w:bCs/>
          <w:sz w:val="22"/>
          <w:szCs w:val="22"/>
        </w:rPr>
        <w:t xml:space="preserve">lunečné týdny znovu ukázaly, jak výrazně se mění česká i evropská energetika. Fotovoltaické elektrárny vyrábějí v některých hodinách tolik elektřiny, že na trhu vznikají přebytky a ceny mohou klesat na nulu nebo dokonce do záporných hodnot. </w:t>
      </w:r>
      <w:r>
        <w:rPr>
          <w:rFonts w:ascii="Arial" w:hAnsi="Arial" w:cs="Arial"/>
          <w:b/>
          <w:bCs/>
          <w:sz w:val="22"/>
          <w:szCs w:val="22"/>
        </w:rPr>
        <w:t>A naopak během horkých dní mohou v</w:t>
      </w:r>
      <w:r w:rsidRPr="00E972ED">
        <w:rPr>
          <w:rFonts w:ascii="Arial" w:hAnsi="Arial" w:cs="Arial"/>
          <w:b/>
          <w:bCs/>
          <w:sz w:val="22"/>
          <w:szCs w:val="22"/>
        </w:rPr>
        <w:t>e večerních hodinách vystoupa</w:t>
      </w:r>
      <w:r>
        <w:rPr>
          <w:rFonts w:ascii="Arial" w:hAnsi="Arial" w:cs="Arial"/>
          <w:b/>
          <w:bCs/>
          <w:sz w:val="22"/>
          <w:szCs w:val="22"/>
        </w:rPr>
        <w:t>t</w:t>
      </w:r>
      <w:r w:rsidRPr="00E972ED">
        <w:rPr>
          <w:rFonts w:ascii="Arial" w:hAnsi="Arial" w:cs="Arial"/>
          <w:b/>
          <w:bCs/>
          <w:sz w:val="22"/>
          <w:szCs w:val="22"/>
        </w:rPr>
        <w:t xml:space="preserve"> ceny krátkodobě až nad 15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E972ED">
        <w:rPr>
          <w:rFonts w:ascii="Arial" w:hAnsi="Arial" w:cs="Arial"/>
          <w:b/>
          <w:bCs/>
          <w:sz w:val="22"/>
          <w:szCs w:val="22"/>
        </w:rPr>
        <w:t>000 Kč/</w:t>
      </w:r>
      <w:proofErr w:type="spellStart"/>
      <w:r w:rsidRPr="00E972ED">
        <w:rPr>
          <w:rFonts w:ascii="Arial" w:hAnsi="Arial" w:cs="Arial"/>
          <w:b/>
          <w:bCs/>
          <w:sz w:val="22"/>
          <w:szCs w:val="22"/>
        </w:rPr>
        <w:t>MWh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. Společnost </w:t>
      </w:r>
      <w:r w:rsidRPr="006D5A70">
        <w:rPr>
          <w:rFonts w:ascii="Arial" w:hAnsi="Arial" w:cs="Arial"/>
          <w:b/>
          <w:bCs/>
          <w:sz w:val="22"/>
          <w:szCs w:val="22"/>
        </w:rPr>
        <w:t>Electree</w:t>
      </w:r>
      <w:r>
        <w:rPr>
          <w:rFonts w:ascii="Arial" w:hAnsi="Arial" w:cs="Arial"/>
          <w:b/>
          <w:bCs/>
          <w:sz w:val="22"/>
          <w:szCs w:val="22"/>
        </w:rPr>
        <w:t xml:space="preserve"> upozorňuje, že </w:t>
      </w:r>
      <w:r w:rsidRPr="006D5A70">
        <w:rPr>
          <w:rFonts w:ascii="Arial" w:hAnsi="Arial" w:cs="Arial"/>
          <w:b/>
          <w:bCs/>
          <w:sz w:val="22"/>
          <w:szCs w:val="22"/>
        </w:rPr>
        <w:t xml:space="preserve">právě </w:t>
      </w:r>
      <w:r>
        <w:rPr>
          <w:rFonts w:ascii="Arial" w:hAnsi="Arial" w:cs="Arial"/>
          <w:b/>
          <w:bCs/>
          <w:sz w:val="22"/>
          <w:szCs w:val="22"/>
        </w:rPr>
        <w:t xml:space="preserve">kvůli těmto </w:t>
      </w:r>
      <w:r w:rsidRPr="006D5A70">
        <w:rPr>
          <w:rFonts w:ascii="Arial" w:hAnsi="Arial" w:cs="Arial"/>
          <w:b/>
          <w:bCs/>
          <w:sz w:val="22"/>
          <w:szCs w:val="22"/>
        </w:rPr>
        <w:t>chví</w:t>
      </w:r>
      <w:r>
        <w:rPr>
          <w:rFonts w:ascii="Arial" w:hAnsi="Arial" w:cs="Arial"/>
          <w:b/>
          <w:bCs/>
          <w:sz w:val="22"/>
          <w:szCs w:val="22"/>
        </w:rPr>
        <w:t>lím</w:t>
      </w:r>
      <w:r w:rsidRPr="004500ED">
        <w:t xml:space="preserve"> </w:t>
      </w:r>
      <w:r w:rsidRPr="004500ED">
        <w:rPr>
          <w:rFonts w:ascii="Arial" w:hAnsi="Arial" w:cs="Arial"/>
          <w:b/>
          <w:bCs/>
          <w:sz w:val="22"/>
          <w:szCs w:val="22"/>
        </w:rPr>
        <w:t>nabývá na významu chytré řízení spotřeby, bateriová úložiště a flexibilita</w:t>
      </w:r>
      <w:r>
        <w:rPr>
          <w:rFonts w:ascii="Arial" w:hAnsi="Arial" w:cs="Arial"/>
          <w:b/>
          <w:bCs/>
          <w:sz w:val="22"/>
          <w:szCs w:val="22"/>
        </w:rPr>
        <w:t xml:space="preserve">. Pro </w:t>
      </w:r>
      <w:r w:rsidRPr="006D5A70">
        <w:rPr>
          <w:rFonts w:ascii="Arial" w:hAnsi="Arial" w:cs="Arial"/>
          <w:b/>
          <w:bCs/>
          <w:sz w:val="22"/>
          <w:szCs w:val="22"/>
        </w:rPr>
        <w:t>domácnost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6D5A70">
        <w:rPr>
          <w:rFonts w:ascii="Arial" w:hAnsi="Arial" w:cs="Arial"/>
          <w:b/>
          <w:bCs/>
          <w:sz w:val="22"/>
          <w:szCs w:val="22"/>
        </w:rPr>
        <w:t xml:space="preserve">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6D5A70">
        <w:rPr>
          <w:rFonts w:ascii="Arial" w:hAnsi="Arial" w:cs="Arial"/>
          <w:b/>
          <w:bCs/>
          <w:sz w:val="22"/>
          <w:szCs w:val="22"/>
        </w:rPr>
        <w:t>elektromobilem</w:t>
      </w:r>
      <w:r>
        <w:rPr>
          <w:rFonts w:ascii="Arial" w:hAnsi="Arial" w:cs="Arial"/>
          <w:b/>
          <w:bCs/>
          <w:sz w:val="22"/>
          <w:szCs w:val="22"/>
        </w:rPr>
        <w:t xml:space="preserve"> jasně platí, že</w:t>
      </w:r>
      <w:r w:rsidRPr="006D5A70">
        <w:rPr>
          <w:rFonts w:ascii="Arial" w:hAnsi="Arial" w:cs="Arial"/>
          <w:b/>
          <w:bCs/>
          <w:sz w:val="22"/>
          <w:szCs w:val="22"/>
        </w:rPr>
        <w:t xml:space="preserve"> kdo dokáže nabíjení přesunout do správného času, může výrazně snížit náklady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89B5078" w14:textId="77777777" w:rsidR="002832CE" w:rsidRPr="00BE2B88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596AEA4D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8F0AF9">
        <w:rPr>
          <w:rFonts w:ascii="Arial" w:hAnsi="Arial" w:cs="Arial"/>
          <w:i/>
          <w:iCs/>
          <w:sz w:val="22"/>
          <w:szCs w:val="22"/>
        </w:rPr>
        <w:t>dyž člověk vidí chvíle, kdy se elektromobil nabíjí za nulové nebo dokonce záporné ceny elektřiny, začne se na ekonomiku dopravy dívat úplně jinou optikou. Energetika přestává být jen o spotřebě paliva a stále více bude o chytrém načasování a řízení energie</w:t>
      </w:r>
      <w:r>
        <w:rPr>
          <w:rFonts w:ascii="Arial" w:hAnsi="Arial" w:cs="Arial"/>
          <w:i/>
          <w:iCs/>
          <w:sz w:val="22"/>
          <w:szCs w:val="22"/>
        </w:rPr>
        <w:t xml:space="preserve">. Začíná </w:t>
      </w:r>
      <w:r w:rsidRPr="006D5A70">
        <w:rPr>
          <w:rFonts w:ascii="Arial" w:hAnsi="Arial" w:cs="Arial"/>
          <w:i/>
          <w:iCs/>
          <w:sz w:val="22"/>
          <w:szCs w:val="22"/>
        </w:rPr>
        <w:t xml:space="preserve">fungovat podobně jako </w:t>
      </w:r>
      <w:r>
        <w:rPr>
          <w:rFonts w:ascii="Arial" w:hAnsi="Arial" w:cs="Arial"/>
          <w:i/>
          <w:iCs/>
          <w:sz w:val="22"/>
          <w:szCs w:val="22"/>
        </w:rPr>
        <w:t xml:space="preserve">například nákup </w:t>
      </w:r>
      <w:r w:rsidRPr="006D5A70">
        <w:rPr>
          <w:rFonts w:ascii="Arial" w:hAnsi="Arial" w:cs="Arial"/>
          <w:i/>
          <w:iCs/>
          <w:sz w:val="22"/>
          <w:szCs w:val="22"/>
        </w:rPr>
        <w:t>leten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6D5A70">
        <w:rPr>
          <w:rFonts w:ascii="Arial" w:hAnsi="Arial" w:cs="Arial"/>
          <w:i/>
          <w:iCs/>
          <w:sz w:val="22"/>
          <w:szCs w:val="22"/>
        </w:rPr>
        <w:t>k</w:t>
      </w:r>
      <w:r>
        <w:rPr>
          <w:rFonts w:ascii="Arial" w:hAnsi="Arial" w:cs="Arial"/>
          <w:i/>
          <w:iCs/>
          <w:sz w:val="22"/>
          <w:szCs w:val="22"/>
        </w:rPr>
        <w:t xml:space="preserve"> či jízdenek</w:t>
      </w:r>
      <w:r w:rsidRPr="006D5A70">
        <w:rPr>
          <w:rFonts w:ascii="Arial" w:hAnsi="Arial" w:cs="Arial"/>
          <w:i/>
          <w:iCs/>
          <w:sz w:val="22"/>
          <w:szCs w:val="22"/>
        </w:rPr>
        <w:t>. Kdo umí být flexibilní, nebo naopak dobře plánovat, může výrazně ušetřit</w:t>
      </w:r>
      <w:r>
        <w:rPr>
          <w:rFonts w:ascii="Arial" w:hAnsi="Arial" w:cs="Arial"/>
          <w:i/>
          <w:iCs/>
          <w:sz w:val="22"/>
          <w:szCs w:val="22"/>
        </w:rPr>
        <w:t>. A to se týká jak domácností, tak firem, které potřebují dobíjet své flotily elektroaut</w:t>
      </w:r>
      <w:r w:rsidRPr="006D5A70">
        <w:rPr>
          <w:rFonts w:ascii="Arial" w:hAnsi="Arial" w:cs="Arial"/>
          <w:i/>
          <w:iCs/>
          <w:sz w:val="22"/>
          <w:szCs w:val="22"/>
        </w:rPr>
        <w:t>,“</w:t>
      </w:r>
      <w:r w:rsidRPr="006D5A70">
        <w:rPr>
          <w:rFonts w:ascii="Arial" w:hAnsi="Arial" w:cs="Arial"/>
          <w:sz w:val="22"/>
          <w:szCs w:val="22"/>
        </w:rPr>
        <w:t xml:space="preserve"> říká </w:t>
      </w:r>
      <w:r w:rsidRPr="007C1422">
        <w:rPr>
          <w:rFonts w:ascii="Arial" w:hAnsi="Arial" w:cs="Arial"/>
          <w:sz w:val="22"/>
          <w:szCs w:val="22"/>
        </w:rPr>
        <w:t>Lubomír Káňa</w:t>
      </w:r>
      <w:r w:rsidRPr="006D5A70">
        <w:rPr>
          <w:rFonts w:ascii="Arial" w:hAnsi="Arial" w:cs="Arial"/>
          <w:sz w:val="22"/>
          <w:szCs w:val="22"/>
        </w:rPr>
        <w:t xml:space="preserve">, spoluzakladatel společnosti </w:t>
      </w:r>
      <w:hyperlink r:id="rId4" w:history="1">
        <w:r w:rsidRPr="00117A42">
          <w:rPr>
            <w:rStyle w:val="Hypertextovodkaz"/>
            <w:rFonts w:ascii="Arial" w:hAnsi="Arial" w:cs="Arial"/>
            <w:sz w:val="22"/>
            <w:szCs w:val="22"/>
          </w:rPr>
          <w:t>Electree</w:t>
        </w:r>
      </w:hyperlink>
      <w:r w:rsidRPr="006D5A70">
        <w:rPr>
          <w:rFonts w:ascii="Arial" w:hAnsi="Arial" w:cs="Arial"/>
          <w:sz w:val="22"/>
          <w:szCs w:val="22"/>
        </w:rPr>
        <w:t>.</w:t>
      </w:r>
    </w:p>
    <w:p w14:paraId="75AB7C96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ED786EB" w14:textId="77777777" w:rsidR="002832CE" w:rsidRPr="006C5294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Mění se doprava i celá energetika</w:t>
      </w:r>
    </w:p>
    <w:p w14:paraId="3D5FCC19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5F6519">
        <w:rPr>
          <w:rFonts w:ascii="Arial" w:hAnsi="Arial" w:cs="Arial"/>
          <w:sz w:val="22"/>
          <w:szCs w:val="22"/>
        </w:rPr>
        <w:t xml:space="preserve">Změna podle něj dobře vystihuje </w:t>
      </w:r>
      <w:r>
        <w:rPr>
          <w:rFonts w:ascii="Arial" w:hAnsi="Arial" w:cs="Arial"/>
          <w:sz w:val="22"/>
          <w:szCs w:val="22"/>
        </w:rPr>
        <w:t>rovněž</w:t>
      </w:r>
      <w:r w:rsidRPr="005F6519">
        <w:rPr>
          <w:rFonts w:ascii="Arial" w:hAnsi="Arial" w:cs="Arial"/>
          <w:sz w:val="22"/>
          <w:szCs w:val="22"/>
        </w:rPr>
        <w:t xml:space="preserve"> pohled na klasická paliva</w:t>
      </w:r>
      <w:r>
        <w:rPr>
          <w:rFonts w:ascii="Arial" w:hAnsi="Arial" w:cs="Arial"/>
          <w:sz w:val="22"/>
          <w:szCs w:val="22"/>
        </w:rPr>
        <w:t xml:space="preserve"> a cenu dopravy</w:t>
      </w:r>
      <w:r w:rsidRPr="005F6519">
        <w:rPr>
          <w:rFonts w:ascii="Arial" w:hAnsi="Arial" w:cs="Arial"/>
          <w:sz w:val="22"/>
          <w:szCs w:val="22"/>
        </w:rPr>
        <w:t xml:space="preserve">. </w:t>
      </w:r>
      <w:r w:rsidRPr="006D5A70">
        <w:rPr>
          <w:rFonts w:ascii="Arial" w:hAnsi="Arial" w:cs="Arial"/>
          <w:sz w:val="22"/>
          <w:szCs w:val="22"/>
        </w:rPr>
        <w:t xml:space="preserve">U benzinu </w:t>
      </w:r>
      <w:r>
        <w:rPr>
          <w:rFonts w:ascii="Arial" w:hAnsi="Arial" w:cs="Arial"/>
          <w:sz w:val="22"/>
          <w:szCs w:val="22"/>
        </w:rPr>
        <w:t>či n</w:t>
      </w:r>
      <w:r w:rsidRPr="006D5A70">
        <w:rPr>
          <w:rFonts w:ascii="Arial" w:hAnsi="Arial" w:cs="Arial"/>
          <w:sz w:val="22"/>
          <w:szCs w:val="22"/>
        </w:rPr>
        <w:t xml:space="preserve">afty řidič cenu ovlivní jen omezeně. </w:t>
      </w:r>
      <w:r w:rsidRPr="00D35236">
        <w:rPr>
          <w:rFonts w:ascii="Arial" w:hAnsi="Arial" w:cs="Arial"/>
          <w:sz w:val="22"/>
          <w:szCs w:val="22"/>
        </w:rPr>
        <w:t xml:space="preserve">Může si vybrat čerpací stanici nebo počkat na mírný pokles cen, </w:t>
      </w:r>
      <w:r>
        <w:rPr>
          <w:rFonts w:ascii="Arial" w:hAnsi="Arial" w:cs="Arial"/>
          <w:sz w:val="22"/>
          <w:szCs w:val="22"/>
        </w:rPr>
        <w:t>pokud nepotřebuje tankovat okamžitě.</w:t>
      </w:r>
    </w:p>
    <w:p w14:paraId="1F25B60C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04C5B178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D35236">
        <w:rPr>
          <w:rFonts w:ascii="Arial" w:hAnsi="Arial" w:cs="Arial"/>
          <w:sz w:val="22"/>
          <w:szCs w:val="22"/>
        </w:rPr>
        <w:t xml:space="preserve">U elektromobilu je situace jiná: cena za kilometr se může výrazně lišit podle toho, zda se vůz nabíjí ve špičce, v noci, během poledních přebytků z fotovoltaiky </w:t>
      </w:r>
      <w:r>
        <w:rPr>
          <w:rFonts w:ascii="Arial" w:hAnsi="Arial" w:cs="Arial"/>
          <w:sz w:val="22"/>
          <w:szCs w:val="22"/>
        </w:rPr>
        <w:t xml:space="preserve">či </w:t>
      </w:r>
      <w:r w:rsidRPr="00D35236">
        <w:rPr>
          <w:rFonts w:ascii="Arial" w:hAnsi="Arial" w:cs="Arial"/>
          <w:sz w:val="22"/>
          <w:szCs w:val="22"/>
        </w:rPr>
        <w:t xml:space="preserve">v hodinách se zápornou cenou elektřiny. </w:t>
      </w:r>
      <w:r w:rsidRPr="005F6519">
        <w:rPr>
          <w:rFonts w:ascii="Arial" w:hAnsi="Arial" w:cs="Arial"/>
          <w:i/>
          <w:iCs/>
          <w:sz w:val="22"/>
          <w:szCs w:val="22"/>
        </w:rPr>
        <w:t xml:space="preserve">„Mám pocit, že dnes jsme v energetice 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5F6519">
        <w:rPr>
          <w:rFonts w:ascii="Arial" w:hAnsi="Arial" w:cs="Arial"/>
          <w:i/>
          <w:iCs/>
          <w:sz w:val="22"/>
          <w:szCs w:val="22"/>
        </w:rPr>
        <w:t xml:space="preserve"> dopravě v</w:t>
      </w:r>
      <w:r>
        <w:rPr>
          <w:rFonts w:ascii="Arial" w:hAnsi="Arial" w:cs="Arial"/>
          <w:i/>
          <w:iCs/>
          <w:sz w:val="22"/>
          <w:szCs w:val="22"/>
        </w:rPr>
        <w:t xml:space="preserve">e </w:t>
      </w:r>
      <w:r w:rsidRPr="005F6519">
        <w:rPr>
          <w:rFonts w:ascii="Arial" w:hAnsi="Arial" w:cs="Arial"/>
          <w:i/>
          <w:iCs/>
          <w:sz w:val="22"/>
          <w:szCs w:val="22"/>
        </w:rPr>
        <w:t>zlomovém období. Neznamená to, že klasické čerpací stanice zmizí, ale jejich role se bude postupně měnit. Vedle prodeje paliv budou stále důležitější služby spojené s energií – ať už jde o rychlé nabíjení, práci s daty, flexibilitu nebo třeba lokální výrobu elektřiny,“</w:t>
      </w:r>
      <w:r w:rsidRPr="005F6519">
        <w:rPr>
          <w:rFonts w:ascii="Arial" w:hAnsi="Arial" w:cs="Arial"/>
          <w:sz w:val="22"/>
          <w:szCs w:val="22"/>
        </w:rPr>
        <w:t xml:space="preserve"> doplňuje</w:t>
      </w:r>
      <w:r w:rsidRPr="00FB588F">
        <w:rPr>
          <w:rFonts w:ascii="Arial" w:hAnsi="Arial" w:cs="Arial"/>
          <w:sz w:val="22"/>
          <w:szCs w:val="22"/>
        </w:rPr>
        <w:t xml:space="preserve"> </w:t>
      </w:r>
      <w:r w:rsidRPr="007C1422">
        <w:rPr>
          <w:rFonts w:ascii="Arial" w:hAnsi="Arial" w:cs="Arial"/>
          <w:sz w:val="22"/>
          <w:szCs w:val="22"/>
        </w:rPr>
        <w:t>Lubomír Káňa</w:t>
      </w:r>
      <w:r>
        <w:rPr>
          <w:rFonts w:ascii="Arial" w:hAnsi="Arial" w:cs="Arial"/>
          <w:sz w:val="22"/>
          <w:szCs w:val="22"/>
        </w:rPr>
        <w:t>.</w:t>
      </w:r>
    </w:p>
    <w:p w14:paraId="2F360A88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73ED740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Nový impuls</w:t>
      </w:r>
      <w:r w:rsidRPr="00343E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6D5A70">
        <w:rPr>
          <w:rFonts w:ascii="Arial" w:hAnsi="Arial" w:cs="Arial"/>
          <w:sz w:val="22"/>
          <w:szCs w:val="22"/>
        </w:rPr>
        <w:t>přináší</w:t>
      </w:r>
      <w:r>
        <w:rPr>
          <w:rFonts w:ascii="Arial" w:hAnsi="Arial" w:cs="Arial"/>
          <w:sz w:val="22"/>
          <w:szCs w:val="22"/>
        </w:rPr>
        <w:t xml:space="preserve"> r</w:t>
      </w:r>
      <w:r w:rsidRPr="006D5A70">
        <w:rPr>
          <w:rFonts w:ascii="Arial" w:hAnsi="Arial" w:cs="Arial"/>
          <w:sz w:val="22"/>
          <w:szCs w:val="22"/>
        </w:rPr>
        <w:t xml:space="preserve">ostoucí výroba z fotovoltaiky. V poledních hodinách </w:t>
      </w:r>
      <w:r>
        <w:rPr>
          <w:rFonts w:ascii="Arial" w:hAnsi="Arial" w:cs="Arial"/>
          <w:sz w:val="22"/>
          <w:szCs w:val="22"/>
        </w:rPr>
        <w:t>a</w:t>
      </w:r>
      <w:r w:rsidRPr="006D5A70">
        <w:rPr>
          <w:rFonts w:ascii="Arial" w:hAnsi="Arial" w:cs="Arial"/>
          <w:sz w:val="22"/>
          <w:szCs w:val="22"/>
        </w:rPr>
        <w:t xml:space="preserve"> během velmi slunečných d</w:t>
      </w:r>
      <w:r>
        <w:rPr>
          <w:rFonts w:ascii="Arial" w:hAnsi="Arial" w:cs="Arial"/>
          <w:sz w:val="22"/>
          <w:szCs w:val="22"/>
        </w:rPr>
        <w:t>ní</w:t>
      </w:r>
      <w:r w:rsidRPr="006D5A70">
        <w:rPr>
          <w:rFonts w:ascii="Arial" w:hAnsi="Arial" w:cs="Arial"/>
          <w:sz w:val="22"/>
          <w:szCs w:val="22"/>
        </w:rPr>
        <w:t xml:space="preserve"> může být elektřiny v síti více, než kolik j</w:t>
      </w:r>
      <w:r>
        <w:rPr>
          <w:rFonts w:ascii="Arial" w:hAnsi="Arial" w:cs="Arial"/>
          <w:sz w:val="22"/>
          <w:szCs w:val="22"/>
        </w:rPr>
        <w:t>í</w:t>
      </w:r>
      <w:r w:rsidRPr="006D5A70">
        <w:rPr>
          <w:rFonts w:ascii="Arial" w:hAnsi="Arial" w:cs="Arial"/>
          <w:sz w:val="22"/>
          <w:szCs w:val="22"/>
        </w:rPr>
        <w:t xml:space="preserve"> trh dokáže okamžitě spotřebovat.</w:t>
      </w:r>
    </w:p>
    <w:p w14:paraId="50D495E7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0687AF17" w14:textId="77777777" w:rsidR="002832CE" w:rsidRPr="000C3962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Pozor na opačný extrém</w:t>
      </w:r>
    </w:p>
    <w:p w14:paraId="1E54B59D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C55F85">
        <w:rPr>
          <w:rFonts w:ascii="Arial" w:hAnsi="Arial" w:cs="Arial"/>
          <w:sz w:val="22"/>
          <w:szCs w:val="22"/>
        </w:rPr>
        <w:t xml:space="preserve">oslední dny zároveň </w:t>
      </w:r>
      <w:r>
        <w:rPr>
          <w:rFonts w:ascii="Arial" w:hAnsi="Arial" w:cs="Arial"/>
          <w:sz w:val="22"/>
          <w:szCs w:val="22"/>
        </w:rPr>
        <w:t>připomněly</w:t>
      </w:r>
      <w:r w:rsidRPr="00C55F85">
        <w:rPr>
          <w:rFonts w:ascii="Arial" w:hAnsi="Arial" w:cs="Arial"/>
          <w:sz w:val="22"/>
          <w:szCs w:val="22"/>
        </w:rPr>
        <w:t>, že energetický trh už není jen o levné elektřině z</w:t>
      </w:r>
      <w:r>
        <w:rPr>
          <w:rFonts w:ascii="Arial" w:hAnsi="Arial" w:cs="Arial"/>
          <w:sz w:val="22"/>
          <w:szCs w:val="22"/>
        </w:rPr>
        <w:t> </w:t>
      </w:r>
      <w:r w:rsidRPr="00C55F85">
        <w:rPr>
          <w:rFonts w:ascii="Arial" w:hAnsi="Arial" w:cs="Arial"/>
          <w:sz w:val="22"/>
          <w:szCs w:val="22"/>
        </w:rPr>
        <w:t xml:space="preserve">fotovoltaických elektráren. Kombinace vysokých letních teplot, nízké výroby větrných elektráren </w:t>
      </w:r>
      <w:r w:rsidRPr="00C55F85">
        <w:rPr>
          <w:rFonts w:ascii="Arial" w:hAnsi="Arial" w:cs="Arial"/>
          <w:sz w:val="22"/>
          <w:szCs w:val="22"/>
        </w:rPr>
        <w:lastRenderedPageBreak/>
        <w:t xml:space="preserve">a prudkého poklesu výroby </w:t>
      </w:r>
      <w:r>
        <w:rPr>
          <w:rFonts w:ascii="Arial" w:hAnsi="Arial" w:cs="Arial"/>
          <w:sz w:val="22"/>
          <w:szCs w:val="22"/>
        </w:rPr>
        <w:t>FVE</w:t>
      </w:r>
      <w:r w:rsidRPr="00C55F85">
        <w:rPr>
          <w:rFonts w:ascii="Arial" w:hAnsi="Arial" w:cs="Arial"/>
          <w:sz w:val="22"/>
          <w:szCs w:val="22"/>
        </w:rPr>
        <w:t xml:space="preserve"> po západu slunce znovu potvrdila, že schopnost flexibilně řídit spotřebu bude mít pro domácnosti i firmy stále větší význam.</w:t>
      </w:r>
      <w:r w:rsidRPr="008F54DD">
        <w:rPr>
          <w:rFonts w:ascii="Arial" w:hAnsi="Arial" w:cs="Arial"/>
          <w:i/>
          <w:iCs/>
          <w:sz w:val="22"/>
          <w:szCs w:val="22"/>
        </w:rPr>
        <w:t xml:space="preserve"> „V jednom týdnu jsme </w:t>
      </w:r>
      <w:r w:rsidRPr="009B3E6E">
        <w:rPr>
          <w:rFonts w:ascii="Arial" w:hAnsi="Arial" w:cs="Arial"/>
          <w:i/>
          <w:iCs/>
          <w:sz w:val="22"/>
          <w:szCs w:val="22"/>
        </w:rPr>
        <w:t xml:space="preserve">na trhu </w:t>
      </w:r>
      <w:r w:rsidRPr="008F54DD">
        <w:rPr>
          <w:rFonts w:ascii="Arial" w:hAnsi="Arial" w:cs="Arial"/>
          <w:i/>
          <w:iCs/>
          <w:sz w:val="22"/>
          <w:szCs w:val="22"/>
        </w:rPr>
        <w:t>viděli jak záporné ceny elektřiny, tak večerní špičky přesahující 15 000 Kč za megawatthodinu. To ukazuje, že budoucnost nebude jen o tom, kolik elektřina stojí, ale hlavně o tom, kdy ji spotřebujeme. Kdo dokáže svou spotřebu řídit, získává významnou ekonomickou výhodu,“</w:t>
      </w:r>
      <w:r w:rsidRPr="00C55F85">
        <w:rPr>
          <w:rFonts w:ascii="Arial" w:hAnsi="Arial" w:cs="Arial"/>
          <w:sz w:val="22"/>
          <w:szCs w:val="22"/>
        </w:rPr>
        <w:t xml:space="preserve"> říká </w:t>
      </w:r>
      <w:r w:rsidRPr="007C1422">
        <w:rPr>
          <w:rFonts w:ascii="Arial" w:hAnsi="Arial" w:cs="Arial"/>
          <w:sz w:val="22"/>
          <w:szCs w:val="22"/>
        </w:rPr>
        <w:t>spoluzakladatel společnosti Electree.</w:t>
      </w:r>
    </w:p>
    <w:p w14:paraId="32C7FA9D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CE623D0" w14:textId="77777777" w:rsidR="002832CE" w:rsidRPr="008F2194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Nabíjení elektromobilu chytře = levně</w:t>
      </w:r>
    </w:p>
    <w:p w14:paraId="63F8C70A" w14:textId="77777777" w:rsidR="002832CE" w:rsidRPr="0043562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6D5A70">
        <w:rPr>
          <w:rFonts w:ascii="Arial" w:hAnsi="Arial" w:cs="Arial"/>
          <w:sz w:val="22"/>
          <w:szCs w:val="22"/>
        </w:rPr>
        <w:t xml:space="preserve"> principu</w:t>
      </w:r>
      <w:r>
        <w:rPr>
          <w:rFonts w:ascii="Arial" w:hAnsi="Arial" w:cs="Arial"/>
          <w:sz w:val="22"/>
          <w:szCs w:val="22"/>
        </w:rPr>
        <w:t xml:space="preserve"> chytrého řízení</w:t>
      </w:r>
      <w:r w:rsidRPr="006D5A70">
        <w:rPr>
          <w:rFonts w:ascii="Arial" w:hAnsi="Arial" w:cs="Arial"/>
          <w:sz w:val="22"/>
          <w:szCs w:val="22"/>
        </w:rPr>
        <w:t xml:space="preserve"> stojí tarif </w:t>
      </w:r>
      <w:hyperlink r:id="rId5" w:history="1">
        <w:proofErr w:type="spellStart"/>
        <w:r w:rsidRPr="006D5A70">
          <w:rPr>
            <w:rStyle w:val="Hypertextovodkaz"/>
            <w:rFonts w:ascii="Arial" w:hAnsi="Arial" w:cs="Arial"/>
            <w:sz w:val="22"/>
            <w:szCs w:val="22"/>
          </w:rPr>
          <w:t>Home</w:t>
        </w:r>
        <w:proofErr w:type="spellEnd"/>
        <w:r w:rsidRPr="006D5A70">
          <w:rPr>
            <w:rStyle w:val="Hypertextovodkaz"/>
            <w:rFonts w:ascii="Arial" w:hAnsi="Arial" w:cs="Arial"/>
            <w:sz w:val="22"/>
            <w:szCs w:val="22"/>
          </w:rPr>
          <w:t xml:space="preserve"> Electree Drive</w:t>
        </w:r>
      </w:hyperlink>
      <w:r w:rsidRPr="006D5A70">
        <w:rPr>
          <w:rFonts w:ascii="Arial" w:hAnsi="Arial" w:cs="Arial"/>
          <w:sz w:val="22"/>
          <w:szCs w:val="22"/>
        </w:rPr>
        <w:t>, určený pro domácnosti s</w:t>
      </w:r>
      <w:r>
        <w:rPr>
          <w:rFonts w:ascii="Arial" w:hAnsi="Arial" w:cs="Arial"/>
          <w:sz w:val="22"/>
          <w:szCs w:val="22"/>
        </w:rPr>
        <w:t> </w:t>
      </w:r>
      <w:r w:rsidRPr="006D5A70">
        <w:rPr>
          <w:rFonts w:ascii="Arial" w:hAnsi="Arial" w:cs="Arial"/>
          <w:sz w:val="22"/>
          <w:szCs w:val="22"/>
        </w:rPr>
        <w:t xml:space="preserve">elektromobilem. </w:t>
      </w:r>
      <w:r w:rsidRPr="00221E58">
        <w:rPr>
          <w:rFonts w:ascii="Arial" w:hAnsi="Arial" w:cs="Arial"/>
          <w:i/>
          <w:iCs/>
          <w:sz w:val="22"/>
          <w:szCs w:val="22"/>
        </w:rPr>
        <w:t>„První myšlenka na něj vznikla ve chvíli, kdy se na evropských trzích začaly výrazněji objevovat nulové a záporné ceny elektřiny. Prakticky reagujeme na situaci, kdy je v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221E58">
        <w:rPr>
          <w:rFonts w:ascii="Arial" w:hAnsi="Arial" w:cs="Arial"/>
          <w:i/>
          <w:iCs/>
          <w:sz w:val="22"/>
          <w:szCs w:val="22"/>
        </w:rPr>
        <w:t>některých hodinách elektřiny v síti nadbytek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21E58">
        <w:rPr>
          <w:rFonts w:ascii="Arial" w:hAnsi="Arial" w:cs="Arial"/>
          <w:i/>
          <w:iCs/>
          <w:sz w:val="22"/>
          <w:szCs w:val="22"/>
        </w:rPr>
        <w:t xml:space="preserve"> typicky při silném výkonu fotovoltaických elektráren,“ </w:t>
      </w:r>
      <w:r w:rsidRPr="004F59F4">
        <w:rPr>
          <w:rFonts w:ascii="Arial" w:hAnsi="Arial" w:cs="Arial"/>
          <w:sz w:val="22"/>
          <w:szCs w:val="22"/>
        </w:rPr>
        <w:t>vysvětluje</w:t>
      </w:r>
      <w:r>
        <w:rPr>
          <w:rFonts w:ascii="Arial" w:hAnsi="Arial" w:cs="Arial"/>
          <w:sz w:val="22"/>
          <w:szCs w:val="22"/>
        </w:rPr>
        <w:t xml:space="preserve"> </w:t>
      </w:r>
      <w:r w:rsidRPr="007C1422">
        <w:rPr>
          <w:rFonts w:ascii="Arial" w:hAnsi="Arial" w:cs="Arial"/>
          <w:sz w:val="22"/>
          <w:szCs w:val="22"/>
        </w:rPr>
        <w:t>Lubomír Káňa</w:t>
      </w:r>
      <w:r>
        <w:rPr>
          <w:rFonts w:ascii="Arial" w:hAnsi="Arial" w:cs="Arial"/>
          <w:sz w:val="22"/>
          <w:szCs w:val="22"/>
        </w:rPr>
        <w:t xml:space="preserve"> a dodává: </w:t>
      </w:r>
      <w:r w:rsidRPr="000C3962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>Ale s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tejně jako mohou během slunečných dnů </w:t>
      </w:r>
      <w:r>
        <w:rPr>
          <w:rFonts w:ascii="Arial" w:hAnsi="Arial" w:cs="Arial"/>
          <w:i/>
          <w:iCs/>
          <w:sz w:val="22"/>
          <w:szCs w:val="22"/>
        </w:rPr>
        <w:t xml:space="preserve">přes den </w:t>
      </w:r>
      <w:r w:rsidRPr="000C3962">
        <w:rPr>
          <w:rFonts w:ascii="Arial" w:hAnsi="Arial" w:cs="Arial"/>
          <w:i/>
          <w:iCs/>
          <w:sz w:val="22"/>
          <w:szCs w:val="22"/>
        </w:rPr>
        <w:t>vznikat přebytky elektřiny a záporné ceny,</w:t>
      </w:r>
      <w:r>
        <w:rPr>
          <w:rFonts w:ascii="Arial" w:hAnsi="Arial" w:cs="Arial"/>
          <w:i/>
          <w:iCs/>
          <w:sz w:val="22"/>
          <w:szCs w:val="22"/>
        </w:rPr>
        <w:t xml:space="preserve"> tak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může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 po západu slunce při vysoké spotřebě </w:t>
      </w:r>
      <w:r>
        <w:rPr>
          <w:rFonts w:ascii="Arial" w:hAnsi="Arial" w:cs="Arial"/>
          <w:i/>
          <w:iCs/>
          <w:sz w:val="22"/>
          <w:szCs w:val="22"/>
        </w:rPr>
        <w:t>docházet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k </w:t>
      </w:r>
      <w:r w:rsidRPr="000C3962">
        <w:rPr>
          <w:rFonts w:ascii="Arial" w:hAnsi="Arial" w:cs="Arial"/>
          <w:i/>
          <w:iCs/>
          <w:sz w:val="22"/>
          <w:szCs w:val="22"/>
        </w:rPr>
        <w:t>extrémní</w:t>
      </w:r>
      <w:r>
        <w:rPr>
          <w:rFonts w:ascii="Arial" w:hAnsi="Arial" w:cs="Arial"/>
          <w:i/>
          <w:iCs/>
          <w:sz w:val="22"/>
          <w:szCs w:val="22"/>
        </w:rPr>
        <w:t>m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 cenov</w:t>
      </w:r>
      <w:r>
        <w:rPr>
          <w:rFonts w:ascii="Arial" w:hAnsi="Arial" w:cs="Arial"/>
          <w:i/>
          <w:iCs/>
          <w:sz w:val="22"/>
          <w:szCs w:val="22"/>
        </w:rPr>
        <w:t>ým</w:t>
      </w:r>
      <w:r w:rsidRPr="000C3962">
        <w:rPr>
          <w:rFonts w:ascii="Arial" w:hAnsi="Arial" w:cs="Arial"/>
          <w:i/>
          <w:iCs/>
          <w:sz w:val="22"/>
          <w:szCs w:val="22"/>
        </w:rPr>
        <w:t xml:space="preserve"> špič</w:t>
      </w:r>
      <w:r>
        <w:rPr>
          <w:rFonts w:ascii="Arial" w:hAnsi="Arial" w:cs="Arial"/>
          <w:i/>
          <w:iCs/>
          <w:sz w:val="22"/>
          <w:szCs w:val="22"/>
        </w:rPr>
        <w:t>kám.</w:t>
      </w:r>
      <w:r w:rsidRPr="000C3962">
        <w:rPr>
          <w:rFonts w:ascii="Arial" w:hAnsi="Arial" w:cs="Arial"/>
          <w:i/>
          <w:iCs/>
          <w:sz w:val="22"/>
          <w:szCs w:val="22"/>
        </w:rPr>
        <w:t>“</w:t>
      </w:r>
    </w:p>
    <w:p w14:paraId="59F8BAB9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36204138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sz w:val="22"/>
          <w:szCs w:val="22"/>
        </w:rPr>
        <w:t xml:space="preserve">Tarif je postavený na spotových cenách elektřiny a umožňuje využívat i hodiny, kdy je cena velmi nízká, nulová nebo záporná. </w:t>
      </w:r>
      <w:r w:rsidRPr="000C3962">
        <w:rPr>
          <w:rFonts w:ascii="Arial" w:hAnsi="Arial" w:cs="Arial"/>
          <w:sz w:val="22"/>
          <w:szCs w:val="22"/>
        </w:rPr>
        <w:t>Podle Electree tak mohou řidiči při chytrém nabíjení najet až 10 000 kilometrů prakticky bez nákladů.</w:t>
      </w:r>
    </w:p>
    <w:p w14:paraId="0E72DE68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7CB062F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CCF7747" wp14:editId="3E1FD34F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340000" cy="1305889"/>
            <wp:effectExtent l="0" t="0" r="3175" b="8890"/>
            <wp:wrapTight wrapText="bothSides">
              <wp:wrapPolygon edited="0">
                <wp:start x="0" y="0"/>
                <wp:lineTo x="0" y="21432"/>
                <wp:lineTo x="21453" y="21432"/>
                <wp:lineTo x="21453" y="0"/>
                <wp:lineTo x="0" y="0"/>
              </wp:wrapPolygon>
            </wp:wrapTight>
            <wp:docPr id="17327056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705655" name="Obrázek 173270565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305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0923">
        <w:rPr>
          <w:rFonts w:ascii="Arial" w:hAnsi="Arial" w:cs="Arial"/>
          <w:sz w:val="22"/>
          <w:szCs w:val="22"/>
        </w:rPr>
        <w:t>Home</w:t>
      </w:r>
      <w:proofErr w:type="spellEnd"/>
      <w:r w:rsidRPr="009F0923">
        <w:rPr>
          <w:rFonts w:ascii="Arial" w:hAnsi="Arial" w:cs="Arial"/>
          <w:sz w:val="22"/>
          <w:szCs w:val="22"/>
        </w:rPr>
        <w:t xml:space="preserve"> Electree Drive</w:t>
      </w:r>
      <w:r>
        <w:rPr>
          <w:rFonts w:ascii="Arial" w:hAnsi="Arial" w:cs="Arial"/>
          <w:sz w:val="22"/>
          <w:szCs w:val="22"/>
        </w:rPr>
        <w:t xml:space="preserve"> současně</w:t>
      </w:r>
      <w:r w:rsidRPr="006D5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reflektuje</w:t>
      </w:r>
      <w:r w:rsidRPr="006D5A70">
        <w:rPr>
          <w:rFonts w:ascii="Arial" w:hAnsi="Arial" w:cs="Arial"/>
          <w:sz w:val="22"/>
          <w:szCs w:val="22"/>
        </w:rPr>
        <w:t xml:space="preserve"> dlouhodob</w:t>
      </w:r>
      <w:r>
        <w:rPr>
          <w:rFonts w:ascii="Arial" w:hAnsi="Arial" w:cs="Arial"/>
          <w:sz w:val="22"/>
          <w:szCs w:val="22"/>
        </w:rPr>
        <w:t xml:space="preserve">é dění na </w:t>
      </w:r>
      <w:r w:rsidRPr="006D5A70">
        <w:rPr>
          <w:rFonts w:ascii="Arial" w:hAnsi="Arial" w:cs="Arial"/>
          <w:sz w:val="22"/>
          <w:szCs w:val="22"/>
        </w:rPr>
        <w:t xml:space="preserve">trhu: </w:t>
      </w:r>
      <w:r>
        <w:rPr>
          <w:rFonts w:ascii="Arial" w:hAnsi="Arial" w:cs="Arial"/>
          <w:sz w:val="22"/>
          <w:szCs w:val="22"/>
        </w:rPr>
        <w:t xml:space="preserve">kromě </w:t>
      </w:r>
      <w:r w:rsidRPr="006D5A70">
        <w:rPr>
          <w:rFonts w:ascii="Arial" w:hAnsi="Arial" w:cs="Arial"/>
          <w:sz w:val="22"/>
          <w:szCs w:val="22"/>
        </w:rPr>
        <w:t>větší</w:t>
      </w:r>
      <w:r>
        <w:rPr>
          <w:rFonts w:ascii="Arial" w:hAnsi="Arial" w:cs="Arial"/>
          <w:sz w:val="22"/>
          <w:szCs w:val="22"/>
        </w:rPr>
        <w:t>ho</w:t>
      </w:r>
      <w:r w:rsidRPr="006D5A70">
        <w:rPr>
          <w:rFonts w:ascii="Arial" w:hAnsi="Arial" w:cs="Arial"/>
          <w:sz w:val="22"/>
          <w:szCs w:val="22"/>
        </w:rPr>
        <w:t xml:space="preserve"> podíl</w:t>
      </w:r>
      <w:r>
        <w:rPr>
          <w:rFonts w:ascii="Arial" w:hAnsi="Arial" w:cs="Arial"/>
          <w:sz w:val="22"/>
          <w:szCs w:val="22"/>
        </w:rPr>
        <w:t>u</w:t>
      </w:r>
      <w:r w:rsidRPr="006D5A70">
        <w:rPr>
          <w:rFonts w:ascii="Arial" w:hAnsi="Arial" w:cs="Arial"/>
          <w:sz w:val="22"/>
          <w:szCs w:val="22"/>
        </w:rPr>
        <w:t xml:space="preserve"> obnovitelných zdrojů</w:t>
      </w:r>
      <w:r>
        <w:rPr>
          <w:rFonts w:ascii="Arial" w:hAnsi="Arial" w:cs="Arial"/>
          <w:sz w:val="22"/>
          <w:szCs w:val="22"/>
        </w:rPr>
        <w:t xml:space="preserve"> jde rovněž o </w:t>
      </w:r>
      <w:r w:rsidRPr="006D5A70">
        <w:rPr>
          <w:rFonts w:ascii="Arial" w:hAnsi="Arial" w:cs="Arial"/>
          <w:sz w:val="22"/>
          <w:szCs w:val="22"/>
        </w:rPr>
        <w:t>častější výkyvy cen a rostoucí význam flexibility na straně spotřeby.</w:t>
      </w:r>
      <w:r>
        <w:rPr>
          <w:rFonts w:ascii="Arial" w:hAnsi="Arial" w:cs="Arial"/>
          <w:sz w:val="22"/>
          <w:szCs w:val="22"/>
        </w:rPr>
        <w:t xml:space="preserve"> </w:t>
      </w:r>
      <w:r w:rsidRPr="006D5A70">
        <w:rPr>
          <w:rFonts w:ascii="Arial" w:hAnsi="Arial" w:cs="Arial"/>
          <w:i/>
          <w:iCs/>
          <w:sz w:val="22"/>
          <w:szCs w:val="22"/>
        </w:rPr>
        <w:t>„</w:t>
      </w:r>
      <w:r w:rsidRPr="006C5294">
        <w:rPr>
          <w:rFonts w:ascii="Arial" w:hAnsi="Arial" w:cs="Arial"/>
          <w:i/>
          <w:iCs/>
          <w:sz w:val="22"/>
          <w:szCs w:val="22"/>
        </w:rPr>
        <w:t xml:space="preserve">Krize na Blízkém východě </w:t>
      </w:r>
      <w:r w:rsidRPr="006D5A70">
        <w:rPr>
          <w:rFonts w:ascii="Arial" w:hAnsi="Arial" w:cs="Arial"/>
          <w:i/>
          <w:iCs/>
          <w:sz w:val="22"/>
          <w:szCs w:val="22"/>
        </w:rPr>
        <w:t>nám potvrdil</w:t>
      </w:r>
      <w:r>
        <w:rPr>
          <w:rFonts w:ascii="Arial" w:hAnsi="Arial" w:cs="Arial"/>
          <w:i/>
          <w:iCs/>
          <w:sz w:val="22"/>
          <w:szCs w:val="22"/>
        </w:rPr>
        <w:t>a</w:t>
      </w:r>
      <w:r w:rsidRPr="006D5A70">
        <w:rPr>
          <w:rFonts w:ascii="Arial" w:hAnsi="Arial" w:cs="Arial"/>
          <w:i/>
          <w:iCs/>
          <w:sz w:val="22"/>
          <w:szCs w:val="22"/>
        </w:rPr>
        <w:t>, jak důležitá bude schopnost reagovat na výkyvy.</w:t>
      </w:r>
      <w:r w:rsidRPr="004E3ACB">
        <w:t xml:space="preserve"> </w:t>
      </w:r>
      <w:r w:rsidRPr="004E3ACB">
        <w:rPr>
          <w:rFonts w:ascii="Arial" w:hAnsi="Arial" w:cs="Arial"/>
          <w:i/>
          <w:iCs/>
          <w:sz w:val="22"/>
          <w:szCs w:val="22"/>
        </w:rPr>
        <w:t>Když roste nejistota kolem plynu nebo výroby elektřiny, ceny jsou volatilnější.</w:t>
      </w:r>
      <w:r w:rsidRPr="006D5A70">
        <w:rPr>
          <w:rFonts w:ascii="Arial" w:hAnsi="Arial" w:cs="Arial"/>
          <w:i/>
          <w:iCs/>
          <w:sz w:val="22"/>
          <w:szCs w:val="22"/>
        </w:rPr>
        <w:t xml:space="preserve"> Velkou část práce ale netvoří jen technologie samotná, ale také edukace zákazníků. I dnes mnoho lidí překvapí, že mohou nastat situace, kdy dodavatel zákazníkovi za spotřebu elektřiny fakticky platí,“</w:t>
      </w:r>
      <w:r w:rsidRPr="006D5A70">
        <w:rPr>
          <w:rFonts w:ascii="Arial" w:hAnsi="Arial" w:cs="Arial"/>
          <w:sz w:val="22"/>
          <w:szCs w:val="22"/>
        </w:rPr>
        <w:t xml:space="preserve"> vysvětluje </w:t>
      </w:r>
      <w:r w:rsidRPr="007C1422">
        <w:rPr>
          <w:rFonts w:ascii="Arial" w:hAnsi="Arial" w:cs="Arial"/>
          <w:sz w:val="22"/>
          <w:szCs w:val="22"/>
        </w:rPr>
        <w:t>spoluzakladatel společnosti Electree</w:t>
      </w:r>
      <w:r w:rsidRPr="006D5A70">
        <w:rPr>
          <w:rFonts w:ascii="Arial" w:hAnsi="Arial" w:cs="Arial"/>
          <w:sz w:val="22"/>
          <w:szCs w:val="22"/>
        </w:rPr>
        <w:t>.</w:t>
      </w:r>
    </w:p>
    <w:p w14:paraId="72B92112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336B43D" w14:textId="77777777" w:rsidR="002832CE" w:rsidRPr="008F2194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Jak to funguje v praxi?</w:t>
      </w:r>
    </w:p>
    <w:p w14:paraId="24AD5603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sz w:val="22"/>
          <w:szCs w:val="22"/>
        </w:rPr>
        <w:t xml:space="preserve">Pro využití tarifu je základem elektromobil a ideálně možnost domácího nabíjení. Nezbytné je průběhové měření. Výhodou je fotovoltaika, domácí baterie nebo chytrý </w:t>
      </w:r>
      <w:proofErr w:type="spellStart"/>
      <w:r w:rsidRPr="006D5A70">
        <w:rPr>
          <w:rFonts w:ascii="Arial" w:hAnsi="Arial" w:cs="Arial"/>
          <w:sz w:val="22"/>
          <w:szCs w:val="22"/>
        </w:rPr>
        <w:t>wallbox</w:t>
      </w:r>
      <w:proofErr w:type="spellEnd"/>
      <w:r w:rsidRPr="006D5A70">
        <w:rPr>
          <w:rFonts w:ascii="Arial" w:hAnsi="Arial" w:cs="Arial"/>
          <w:sz w:val="22"/>
          <w:szCs w:val="22"/>
        </w:rPr>
        <w:t xml:space="preserve">, ale podmínkou nejsou. Důležité je hlavně to, aby </w:t>
      </w:r>
      <w:r>
        <w:rPr>
          <w:rFonts w:ascii="Arial" w:hAnsi="Arial" w:cs="Arial"/>
          <w:sz w:val="22"/>
          <w:szCs w:val="22"/>
        </w:rPr>
        <w:t>klient</w:t>
      </w:r>
      <w:r w:rsidRPr="006D5A70">
        <w:rPr>
          <w:rFonts w:ascii="Arial" w:hAnsi="Arial" w:cs="Arial"/>
          <w:sz w:val="22"/>
          <w:szCs w:val="22"/>
        </w:rPr>
        <w:t xml:space="preserve"> dokázal alespoň část spotřeby přesunout do levnějších hodin.</w:t>
      </w:r>
    </w:p>
    <w:p w14:paraId="28C9805E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554E505E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sz w:val="22"/>
          <w:szCs w:val="22"/>
        </w:rPr>
        <w:t xml:space="preserve">Součástí řešení je aplikace </w:t>
      </w:r>
      <w:hyperlink r:id="rId7" w:history="1">
        <w:r w:rsidRPr="00BB608D">
          <w:rPr>
            <w:rStyle w:val="Hypertextovodkaz"/>
            <w:rFonts w:ascii="Arial" w:hAnsi="Arial" w:cs="Arial"/>
            <w:sz w:val="22"/>
            <w:szCs w:val="22"/>
          </w:rPr>
          <w:t xml:space="preserve">Electree </w:t>
        </w:r>
        <w:proofErr w:type="spellStart"/>
        <w:r w:rsidRPr="00BB608D">
          <w:rPr>
            <w:rStyle w:val="Hypertextovodkaz"/>
            <w:rFonts w:ascii="Arial" w:hAnsi="Arial" w:cs="Arial"/>
            <w:sz w:val="22"/>
            <w:szCs w:val="22"/>
          </w:rPr>
          <w:t>Connect</w:t>
        </w:r>
        <w:proofErr w:type="spellEnd"/>
      </w:hyperlink>
      <w:r w:rsidRPr="006D5A70">
        <w:rPr>
          <w:rFonts w:ascii="Arial" w:hAnsi="Arial" w:cs="Arial"/>
          <w:sz w:val="22"/>
          <w:szCs w:val="22"/>
        </w:rPr>
        <w:t xml:space="preserve">, která ukazuje ceny elektřiny dopředu a upozorňuje na výhodné hodiny pro nabíjení nebo vyšší spotřebu. Majitelé elektromobilů si v ní mohou nastavit </w:t>
      </w:r>
      <w:r w:rsidRPr="006D5A70">
        <w:rPr>
          <w:rFonts w:ascii="Arial" w:hAnsi="Arial" w:cs="Arial"/>
          <w:sz w:val="22"/>
          <w:szCs w:val="22"/>
        </w:rPr>
        <w:lastRenderedPageBreak/>
        <w:t xml:space="preserve">parametry svého vozu a </w:t>
      </w:r>
      <w:r>
        <w:rPr>
          <w:rFonts w:ascii="Arial" w:hAnsi="Arial" w:cs="Arial"/>
          <w:sz w:val="22"/>
          <w:szCs w:val="22"/>
        </w:rPr>
        <w:t>do</w:t>
      </w:r>
      <w:r w:rsidRPr="006D5A70">
        <w:rPr>
          <w:rFonts w:ascii="Arial" w:hAnsi="Arial" w:cs="Arial"/>
          <w:sz w:val="22"/>
          <w:szCs w:val="22"/>
        </w:rPr>
        <w:t xml:space="preserve">bíjení, například průměrnou spotřebu </w:t>
      </w:r>
      <w:r>
        <w:rPr>
          <w:rFonts w:ascii="Arial" w:hAnsi="Arial" w:cs="Arial"/>
          <w:sz w:val="22"/>
          <w:szCs w:val="22"/>
        </w:rPr>
        <w:t xml:space="preserve">či </w:t>
      </w:r>
      <w:r w:rsidRPr="006D5A70">
        <w:rPr>
          <w:rFonts w:ascii="Arial" w:hAnsi="Arial" w:cs="Arial"/>
          <w:sz w:val="22"/>
          <w:szCs w:val="22"/>
        </w:rPr>
        <w:t>výkon domácí nabíječky. Díky tomu vidí, kolik je stojí jeden kilometr při nabíjení v konkrétním čase.</w:t>
      </w:r>
    </w:p>
    <w:p w14:paraId="386E0529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FC8B5A8" w14:textId="77777777" w:rsidR="002832CE" w:rsidRPr="006D5A70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i/>
          <w:iCs/>
          <w:sz w:val="22"/>
          <w:szCs w:val="22"/>
        </w:rPr>
        <w:t>„</w:t>
      </w:r>
      <w:r>
        <w:rPr>
          <w:rFonts w:ascii="Arial" w:hAnsi="Arial" w:cs="Arial"/>
          <w:i/>
          <w:iCs/>
          <w:sz w:val="22"/>
          <w:szCs w:val="22"/>
        </w:rPr>
        <w:t xml:space="preserve">Pro zákazníka je to </w:t>
      </w:r>
      <w:r w:rsidRPr="006D5A70">
        <w:rPr>
          <w:rFonts w:ascii="Arial" w:hAnsi="Arial" w:cs="Arial"/>
          <w:i/>
          <w:iCs/>
          <w:sz w:val="22"/>
          <w:szCs w:val="22"/>
        </w:rPr>
        <w:t>úplně jednodu</w:t>
      </w:r>
      <w:r>
        <w:rPr>
          <w:rFonts w:ascii="Arial" w:hAnsi="Arial" w:cs="Arial"/>
          <w:i/>
          <w:iCs/>
          <w:sz w:val="22"/>
          <w:szCs w:val="22"/>
        </w:rPr>
        <w:t>ché</w:t>
      </w:r>
      <w:r w:rsidRPr="006D5A70">
        <w:rPr>
          <w:rFonts w:ascii="Arial" w:hAnsi="Arial" w:cs="Arial"/>
          <w:i/>
          <w:iCs/>
          <w:sz w:val="22"/>
          <w:szCs w:val="22"/>
        </w:rPr>
        <w:t>. Večer se podív</w:t>
      </w:r>
      <w:r>
        <w:rPr>
          <w:rFonts w:ascii="Arial" w:hAnsi="Arial" w:cs="Arial"/>
          <w:i/>
          <w:iCs/>
          <w:sz w:val="22"/>
          <w:szCs w:val="22"/>
        </w:rPr>
        <w:t xml:space="preserve">á </w:t>
      </w:r>
      <w:r w:rsidRPr="006D5A70">
        <w:rPr>
          <w:rFonts w:ascii="Arial" w:hAnsi="Arial" w:cs="Arial"/>
          <w:i/>
          <w:iCs/>
          <w:sz w:val="22"/>
          <w:szCs w:val="22"/>
        </w:rPr>
        <w:t>do aplikace, kdy budou ceny nízké, a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6D5A70">
        <w:rPr>
          <w:rFonts w:ascii="Arial" w:hAnsi="Arial" w:cs="Arial"/>
          <w:i/>
          <w:iCs/>
          <w:sz w:val="22"/>
          <w:szCs w:val="22"/>
        </w:rPr>
        <w:t>podle toho auto připojí k</w:t>
      </w:r>
      <w:r>
        <w:rPr>
          <w:rFonts w:ascii="Arial" w:hAnsi="Arial" w:cs="Arial"/>
          <w:i/>
          <w:iCs/>
          <w:sz w:val="22"/>
          <w:szCs w:val="22"/>
        </w:rPr>
        <w:t> </w:t>
      </w:r>
      <w:r w:rsidRPr="006D5A70">
        <w:rPr>
          <w:rFonts w:ascii="Arial" w:hAnsi="Arial" w:cs="Arial"/>
          <w:i/>
          <w:iCs/>
          <w:sz w:val="22"/>
          <w:szCs w:val="22"/>
        </w:rPr>
        <w:t>nabíjení</w:t>
      </w:r>
      <w:r>
        <w:rPr>
          <w:rFonts w:ascii="Arial" w:hAnsi="Arial" w:cs="Arial"/>
          <w:i/>
          <w:iCs/>
          <w:sz w:val="22"/>
          <w:szCs w:val="22"/>
        </w:rPr>
        <w:t>. Nebude se například připojovat hned po příjezdu domů v šest večer, kdy je poptávka po energii největší, ale odloží dobíjení na později tak, aby ráno v sedm hodin měl nabitých potřebných 80 procent</w:t>
      </w:r>
      <w:r w:rsidRPr="006D5A70">
        <w:rPr>
          <w:rFonts w:ascii="Arial" w:hAnsi="Arial" w:cs="Arial"/>
          <w:i/>
          <w:iCs/>
          <w:sz w:val="22"/>
          <w:szCs w:val="22"/>
        </w:rPr>
        <w:t>,“</w:t>
      </w:r>
      <w:r w:rsidRPr="006D5A70">
        <w:rPr>
          <w:rFonts w:ascii="Arial" w:hAnsi="Arial" w:cs="Arial"/>
          <w:sz w:val="22"/>
          <w:szCs w:val="22"/>
        </w:rPr>
        <w:t xml:space="preserve"> říká </w:t>
      </w:r>
      <w:r w:rsidRPr="007C1422">
        <w:rPr>
          <w:rFonts w:ascii="Arial" w:hAnsi="Arial" w:cs="Arial"/>
          <w:sz w:val="22"/>
          <w:szCs w:val="22"/>
        </w:rPr>
        <w:t>Lubomír Káňa</w:t>
      </w:r>
      <w:r w:rsidRPr="006D5A70">
        <w:rPr>
          <w:rFonts w:ascii="Arial" w:hAnsi="Arial" w:cs="Arial"/>
          <w:sz w:val="22"/>
          <w:szCs w:val="22"/>
        </w:rPr>
        <w:t>.</w:t>
      </w:r>
    </w:p>
    <w:p w14:paraId="01EDDDFA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1D6981AF" w14:textId="77777777" w:rsidR="002832CE" w:rsidRPr="006A0C63" w:rsidRDefault="002832CE" w:rsidP="002832CE">
      <w:pPr>
        <w:spacing w:after="0" w:line="32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641352">
        <w:rPr>
          <w:rFonts w:ascii="Arial" w:hAnsi="Arial" w:cs="Arial"/>
          <w:b/>
          <w:bCs/>
          <w:sz w:val="22"/>
          <w:szCs w:val="22"/>
        </w:rPr>
        <w:t>Auto jako baterie na kolech</w:t>
      </w:r>
    </w:p>
    <w:p w14:paraId="73A0E373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 w:rsidRPr="006D5A70">
        <w:rPr>
          <w:rFonts w:ascii="Arial" w:hAnsi="Arial" w:cs="Arial"/>
          <w:sz w:val="22"/>
          <w:szCs w:val="22"/>
        </w:rPr>
        <w:t>Slunečné dny zároveň ukazují, že nejde jen o elektromobily. Přebytečnou elektřinu mohou domácnosti využít také k ohřevu vody, ukládání do baterie, provozu klimatizace nebo bazénových technologií.</w:t>
      </w:r>
    </w:p>
    <w:p w14:paraId="7E42B18D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5FA27B50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6D5A70">
        <w:rPr>
          <w:rFonts w:ascii="Arial" w:hAnsi="Arial" w:cs="Arial"/>
          <w:sz w:val="22"/>
          <w:szCs w:val="22"/>
        </w:rPr>
        <w:t>Elektromobil je ale podle Electree jedním z nejpraktičtějších způsobů, jak přebytky využít – stojí často několik hodin doma</w:t>
      </w:r>
      <w:r>
        <w:rPr>
          <w:rFonts w:ascii="Arial" w:hAnsi="Arial" w:cs="Arial"/>
          <w:sz w:val="22"/>
          <w:szCs w:val="22"/>
        </w:rPr>
        <w:t xml:space="preserve"> či v podniku</w:t>
      </w:r>
      <w:r w:rsidRPr="006D5A70">
        <w:rPr>
          <w:rFonts w:ascii="Arial" w:hAnsi="Arial" w:cs="Arial"/>
          <w:sz w:val="22"/>
          <w:szCs w:val="22"/>
        </w:rPr>
        <w:t xml:space="preserve"> a jeho nabíjení lze relativně snadno načasovat.</w:t>
      </w:r>
      <w:r>
        <w:rPr>
          <w:rFonts w:ascii="Arial" w:hAnsi="Arial" w:cs="Arial"/>
          <w:sz w:val="22"/>
          <w:szCs w:val="22"/>
        </w:rPr>
        <w:t xml:space="preserve"> </w:t>
      </w:r>
      <w:r w:rsidRPr="006D5A70">
        <w:rPr>
          <w:rFonts w:ascii="Arial" w:hAnsi="Arial" w:cs="Arial"/>
          <w:i/>
          <w:iCs/>
          <w:sz w:val="22"/>
          <w:szCs w:val="22"/>
        </w:rPr>
        <w:t>„</w:t>
      </w:r>
      <w:r w:rsidRPr="00C441BF">
        <w:rPr>
          <w:rFonts w:ascii="Arial" w:hAnsi="Arial" w:cs="Arial"/>
          <w:i/>
          <w:iCs/>
          <w:sz w:val="22"/>
          <w:szCs w:val="22"/>
        </w:rPr>
        <w:t>Pokud chceme v Evropě dlouhodobě zvládnout větší podíl obnovitelných zdrojů a mít díky nim dobře pokrytou spotřebu i v zimních měsících, musíme zároveň umět pracovat s obrovskými letními přebytky elektřiny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C441BF">
        <w:rPr>
          <w:rFonts w:ascii="Arial" w:hAnsi="Arial" w:cs="Arial"/>
          <w:i/>
          <w:iCs/>
          <w:sz w:val="22"/>
          <w:szCs w:val="22"/>
        </w:rPr>
        <w:t xml:space="preserve"> </w:t>
      </w:r>
      <w:r w:rsidRPr="006D5A70">
        <w:rPr>
          <w:rFonts w:ascii="Arial" w:hAnsi="Arial" w:cs="Arial"/>
          <w:i/>
          <w:iCs/>
          <w:sz w:val="22"/>
          <w:szCs w:val="22"/>
        </w:rPr>
        <w:t xml:space="preserve">V některých dnech jí vzniká tolik, že ji trh téměř neumí spotřebovat. </w:t>
      </w:r>
      <w:r>
        <w:rPr>
          <w:rFonts w:ascii="Arial" w:hAnsi="Arial" w:cs="Arial"/>
          <w:i/>
          <w:iCs/>
          <w:sz w:val="22"/>
          <w:szCs w:val="22"/>
        </w:rPr>
        <w:t>A e</w:t>
      </w:r>
      <w:r w:rsidRPr="006D5A70">
        <w:rPr>
          <w:rFonts w:ascii="Arial" w:hAnsi="Arial" w:cs="Arial"/>
          <w:i/>
          <w:iCs/>
          <w:sz w:val="22"/>
          <w:szCs w:val="22"/>
        </w:rPr>
        <w:t>lektromobilita je v tomto směru velmi praktické řešení,“</w:t>
      </w:r>
      <w:r w:rsidRPr="006D5A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uzavírá</w:t>
      </w:r>
      <w:r w:rsidRPr="006D5A70">
        <w:rPr>
          <w:rFonts w:ascii="Arial" w:hAnsi="Arial" w:cs="Arial"/>
          <w:sz w:val="22"/>
          <w:szCs w:val="22"/>
        </w:rPr>
        <w:t xml:space="preserve"> </w:t>
      </w:r>
      <w:r w:rsidRPr="007C1422">
        <w:rPr>
          <w:rFonts w:ascii="Arial" w:hAnsi="Arial" w:cs="Arial"/>
          <w:sz w:val="22"/>
          <w:szCs w:val="22"/>
        </w:rPr>
        <w:t>Lubomír Káňa</w:t>
      </w:r>
      <w:r w:rsidRPr="006D5A70">
        <w:rPr>
          <w:rFonts w:ascii="Arial" w:hAnsi="Arial" w:cs="Arial"/>
          <w:sz w:val="22"/>
          <w:szCs w:val="22"/>
        </w:rPr>
        <w:t>.</w:t>
      </w:r>
    </w:p>
    <w:p w14:paraId="77618719" w14:textId="77777777" w:rsidR="002832CE" w:rsidRPr="000C3962" w:rsidRDefault="002832CE" w:rsidP="002832CE">
      <w:pPr>
        <w:spacing w:after="0" w:line="320" w:lineRule="atLeast"/>
        <w:jc w:val="both"/>
        <w:rPr>
          <w:rFonts w:ascii="Arial" w:hAnsi="Arial" w:cs="Arial"/>
          <w:i/>
          <w:iCs/>
          <w:sz w:val="22"/>
          <w:szCs w:val="22"/>
        </w:rPr>
      </w:pPr>
    </w:p>
    <w:p w14:paraId="7388BE85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význam elektromobilů do budoucna ještě poroste. Technologie </w:t>
      </w:r>
      <w:r w:rsidRPr="00E55D5F">
        <w:rPr>
          <w:rFonts w:ascii="Arial" w:eastAsia="Arial" w:hAnsi="Arial" w:cs="Arial"/>
          <w:sz w:val="22"/>
          <w:szCs w:val="22"/>
        </w:rPr>
        <w:t>V2G (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Vehicle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-to-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Grid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E55D5F">
        <w:rPr>
          <w:rFonts w:ascii="Arial" w:eastAsia="Arial" w:hAnsi="Arial" w:cs="Arial"/>
          <w:sz w:val="22"/>
          <w:szCs w:val="22"/>
        </w:rPr>
        <w:t>V2H (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Vehicle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-to-</w:t>
      </w:r>
      <w:proofErr w:type="spellStart"/>
      <w:r w:rsidRPr="00E55D5F">
        <w:rPr>
          <w:rFonts w:ascii="Arial" w:eastAsia="Arial" w:hAnsi="Arial" w:cs="Arial"/>
          <w:sz w:val="22"/>
          <w:szCs w:val="22"/>
        </w:rPr>
        <w:t>Home</w:t>
      </w:r>
      <w:proofErr w:type="spellEnd"/>
      <w:r w:rsidRPr="00E55D5F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 a </w:t>
      </w:r>
      <w:r w:rsidRPr="00525C93">
        <w:rPr>
          <w:rFonts w:ascii="Arial" w:eastAsia="Arial" w:hAnsi="Arial" w:cs="Arial"/>
          <w:sz w:val="22"/>
          <w:szCs w:val="22"/>
        </w:rPr>
        <w:t>V2L</w:t>
      </w:r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DF7CD3">
        <w:rPr>
          <w:rFonts w:ascii="Arial" w:eastAsia="Arial" w:hAnsi="Arial" w:cs="Arial"/>
          <w:sz w:val="22"/>
          <w:szCs w:val="22"/>
        </w:rPr>
        <w:t>Vehicle</w:t>
      </w:r>
      <w:proofErr w:type="spellEnd"/>
      <w:r w:rsidRPr="00DF7CD3">
        <w:rPr>
          <w:rFonts w:ascii="Arial" w:eastAsia="Arial" w:hAnsi="Arial" w:cs="Arial"/>
          <w:sz w:val="22"/>
          <w:szCs w:val="22"/>
        </w:rPr>
        <w:t>-to-</w:t>
      </w:r>
      <w:proofErr w:type="spellStart"/>
      <w:r w:rsidRPr="00DF7CD3">
        <w:rPr>
          <w:rFonts w:ascii="Arial" w:eastAsia="Arial" w:hAnsi="Arial" w:cs="Arial"/>
          <w:sz w:val="22"/>
          <w:szCs w:val="22"/>
        </w:rPr>
        <w:t>Load</w:t>
      </w:r>
      <w:proofErr w:type="spellEnd"/>
      <w:r w:rsidRPr="00525C93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 xml:space="preserve">, které umožňují obousměrné využití baterie, </w:t>
      </w:r>
      <w:r w:rsidRPr="00525C93">
        <w:rPr>
          <w:rFonts w:ascii="Arial" w:eastAsia="Arial" w:hAnsi="Arial" w:cs="Arial"/>
          <w:sz w:val="22"/>
          <w:szCs w:val="22"/>
        </w:rPr>
        <w:t>mění elektro</w:t>
      </w:r>
      <w:r>
        <w:rPr>
          <w:rFonts w:ascii="Arial" w:eastAsia="Arial" w:hAnsi="Arial" w:cs="Arial"/>
          <w:sz w:val="22"/>
          <w:szCs w:val="22"/>
        </w:rPr>
        <w:t xml:space="preserve">auto </w:t>
      </w:r>
      <w:r w:rsidRPr="00525C93">
        <w:rPr>
          <w:rFonts w:ascii="Arial" w:eastAsia="Arial" w:hAnsi="Arial" w:cs="Arial"/>
          <w:sz w:val="22"/>
          <w:szCs w:val="22"/>
        </w:rPr>
        <w:t>na pojízdnou powerbanku</w:t>
      </w:r>
      <w:r>
        <w:rPr>
          <w:rFonts w:ascii="Arial" w:eastAsia="Arial" w:hAnsi="Arial" w:cs="Arial"/>
          <w:sz w:val="22"/>
          <w:szCs w:val="22"/>
        </w:rPr>
        <w:t>. Vybrané novější modely aut tak energii dokážou vracet zpět do domácnosti nebo do sítě.</w:t>
      </w:r>
    </w:p>
    <w:p w14:paraId="6001D8A5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41E1142C" w14:textId="77777777" w:rsidR="002832CE" w:rsidRDefault="002832CE" w:rsidP="002832CE">
      <w:pPr>
        <w:spacing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72CFBAD7" w14:textId="77777777" w:rsidR="002832CE" w:rsidRPr="00B64163" w:rsidRDefault="002832CE" w:rsidP="002832CE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263FC8A9" w14:textId="77777777" w:rsidR="002832CE" w:rsidRPr="008F67DE" w:rsidRDefault="002832CE" w:rsidP="002832CE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801CD4A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 nejmodernější technologie sloužící stabilizaci sítě.</w:t>
      </w:r>
    </w:p>
    <w:p w14:paraId="782D7E2D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044E6C94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4FA8105A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, který se zaměřuje na bateriová úložiště nové generace. Jde o</w:t>
      </w:r>
      <w:r>
        <w:rPr>
          <w:rFonts w:ascii="Arial" w:hAnsi="Arial" w:cs="Arial"/>
          <w:i/>
          <w:iCs/>
          <w:spacing w:val="1"/>
          <w:sz w:val="18"/>
          <w:szCs w:val="20"/>
        </w:rPr>
        <w:t> 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7D883B70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lastRenderedPageBreak/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6E5D235B" w14:textId="77777777" w:rsidR="002832CE" w:rsidRPr="008F67DE" w:rsidRDefault="002832CE" w:rsidP="002832CE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</w:t>
      </w:r>
      <w:r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firmy a také na implementaci chytrého řízení Electree Pulse.</w:t>
      </w:r>
    </w:p>
    <w:p w14:paraId="06225B04" w14:textId="77777777" w:rsidR="002832CE" w:rsidRPr="008F67DE" w:rsidRDefault="002832CE" w:rsidP="002832CE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6F0A4CCA" w14:textId="77777777" w:rsidR="002832CE" w:rsidRPr="000A0554" w:rsidRDefault="002832CE" w:rsidP="002832CE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930E541" w14:textId="77777777" w:rsidR="002832CE" w:rsidRPr="000A0554" w:rsidRDefault="002832CE" w:rsidP="002832CE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63D7E2D3" w14:textId="77777777" w:rsidR="002832CE" w:rsidRPr="00E67767" w:rsidRDefault="002832CE" w:rsidP="002832CE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8" w:history="1">
        <w:r w:rsidRPr="00E67767">
          <w:rPr>
            <w:rStyle w:val="Hyperlink0"/>
            <w:sz w:val="20"/>
            <w:szCs w:val="20"/>
          </w:rPr>
          <w:t>marcela.kukanova@crestcom.cz</w:t>
        </w:r>
      </w:hyperlink>
    </w:p>
    <w:p w14:paraId="6C25AE5D" w14:textId="77777777" w:rsidR="002832CE" w:rsidRPr="00E67767" w:rsidRDefault="002832CE" w:rsidP="002832CE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Style w:val="Hyperlink0"/>
          <w:sz w:val="20"/>
          <w:szCs w:val="20"/>
        </w:rPr>
      </w:pPr>
      <w:r w:rsidRPr="000A0554">
        <w:rPr>
          <w:rFonts w:ascii="Arial" w:hAnsi="Arial" w:cs="Arial"/>
          <w:sz w:val="20"/>
          <w:szCs w:val="20"/>
        </w:rPr>
        <w:t xml:space="preserve">Michaela Muczková, tel.: +420 778 543 041, </w:t>
      </w:r>
      <w:hyperlink r:id="rId9" w:history="1">
        <w:r w:rsidRPr="00E67767">
          <w:rPr>
            <w:rStyle w:val="Hyperlink0"/>
            <w:sz w:val="20"/>
            <w:szCs w:val="20"/>
          </w:rPr>
          <w:t>michaela.muczkova@crestcom.cz</w:t>
        </w:r>
      </w:hyperlink>
    </w:p>
    <w:p w14:paraId="7C9F0D55" w14:textId="77777777" w:rsidR="002832CE" w:rsidRPr="00175434" w:rsidRDefault="002832CE" w:rsidP="002832CE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after="0"/>
        <w:jc w:val="both"/>
        <w:rPr>
          <w:rFonts w:ascii="Plus Jakarta Sans" w:hAnsi="Plus Jakarta Sans" w:cs="Arial"/>
          <w:b/>
          <w:sz w:val="20"/>
          <w:szCs w:val="20"/>
        </w:rPr>
      </w:pPr>
      <w:hyperlink r:id="rId10" w:history="1">
        <w:r w:rsidRPr="00E67767">
          <w:rPr>
            <w:rStyle w:val="Hyperlink0"/>
            <w:b/>
            <w:bCs/>
            <w:sz w:val="20"/>
            <w:szCs w:val="20"/>
          </w:rPr>
          <w:t>www.crestcom.cz</w:t>
        </w:r>
      </w:hyperlink>
      <w:r w:rsidRPr="00E67767">
        <w:rPr>
          <w:rStyle w:val="Hyperlink0"/>
          <w:b/>
          <w:bCs/>
          <w:sz w:val="20"/>
          <w:szCs w:val="20"/>
        </w:rPr>
        <w:t>;</w:t>
      </w:r>
      <w:r w:rsidRPr="00DF2924">
        <w:rPr>
          <w:rStyle w:val="Hyperlink0"/>
          <w:b/>
          <w:bCs/>
          <w:sz w:val="20"/>
          <w:szCs w:val="20"/>
        </w:rPr>
        <w:t xml:space="preserve"> </w:t>
      </w:r>
      <w:hyperlink r:id="rId11" w:history="1">
        <w:r w:rsidRPr="00DF2924">
          <w:rPr>
            <w:rStyle w:val="Hyperlink0"/>
            <w:b/>
            <w:bCs/>
            <w:sz w:val="20"/>
            <w:szCs w:val="20"/>
          </w:rPr>
          <w:t>www.electree.cz</w:t>
        </w:r>
      </w:hyperlink>
      <w:r w:rsidRPr="00B77712">
        <w:rPr>
          <w:rFonts w:ascii="Plus Jakarta Sans" w:hAnsi="Plus Jakarta Sans" w:cs="Arial"/>
          <w:b/>
          <w:sz w:val="20"/>
          <w:szCs w:val="20"/>
        </w:rPr>
        <w:t xml:space="preserve"> </w:t>
      </w:r>
    </w:p>
    <w:p w14:paraId="4FF6FBE8" w14:textId="77777777" w:rsidR="000807A1" w:rsidRDefault="000807A1"/>
    <w:sectPr w:rsidR="000807A1" w:rsidSect="002832CE">
      <w:headerReference w:type="default" r:id="rId12"/>
      <w:footerReference w:type="even" r:id="rId13"/>
      <w:footerReference w:type="default" r:id="rId14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Plus Jakarta Sans">
    <w:altName w:val="Calibri"/>
    <w:charset w:val="4D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BD0C" w14:textId="77777777" w:rsidR="002832CE" w:rsidRDefault="002832CE">
    <w:pPr>
      <w:pStyle w:val="Zpat"/>
    </w:pPr>
    <w:r>
      <w:rPr>
        <w:noProof/>
        <w14:ligatures w14:val="standardContextual"/>
      </w:rPr>
      <w:drawing>
        <wp:inline distT="0" distB="0" distL="0" distR="0" wp14:anchorId="5C686958" wp14:editId="2C9E44B0">
          <wp:extent cx="5943600" cy="1214755"/>
          <wp:effectExtent l="0" t="0" r="0" b="4445"/>
          <wp:docPr id="178291114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911147" name="Picture 1782911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4EBDE71B" wp14:editId="6657E879">
          <wp:extent cx="5943600" cy="1214755"/>
          <wp:effectExtent l="0" t="0" r="0" b="4445"/>
          <wp:docPr id="83143355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3553" name="Picture 831433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557E58DA" wp14:editId="6B237670">
          <wp:extent cx="5943600" cy="1214755"/>
          <wp:effectExtent l="0" t="0" r="0" b="4445"/>
          <wp:docPr id="21296125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12597" name="Picture 2129612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9F52" w14:textId="77777777" w:rsidR="002832CE" w:rsidRDefault="002832CE" w:rsidP="00CF4A89">
    <w:pPr>
      <w:pStyle w:val="Zpat"/>
      <w:jc w:val="right"/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anchor distT="0" distB="0" distL="114300" distR="114300" simplePos="0" relativeHeight="251659264" behindDoc="1" locked="0" layoutInCell="1" allowOverlap="1" wp14:anchorId="7FC2E2AC" wp14:editId="727ECD5A">
          <wp:simplePos x="0" y="0"/>
          <wp:positionH relativeFrom="column">
            <wp:posOffset>-1106311</wp:posOffset>
          </wp:positionH>
          <wp:positionV relativeFrom="paragraph">
            <wp:posOffset>316371</wp:posOffset>
          </wp:positionV>
          <wp:extent cx="8148685" cy="316018"/>
          <wp:effectExtent l="0" t="0" r="0" b="1905"/>
          <wp:wrapNone/>
          <wp:docPr id="14150599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059961" name="Picture 1415059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2013" cy="32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428E" w14:textId="77777777" w:rsidR="002832CE" w:rsidRDefault="002832CE" w:rsidP="00DF2924">
    <w:pPr>
      <w:pStyle w:val="Zhlav"/>
      <w:tabs>
        <w:tab w:val="clear" w:pos="4680"/>
        <w:tab w:val="clear" w:pos="9360"/>
        <w:tab w:val="left" w:pos="6750"/>
      </w:tabs>
    </w:pPr>
    <w:r>
      <w:rPr>
        <w:rFonts w:ascii="Plus Jakarta Sans" w:hAnsi="Plus Jakarta Sans" w:cs="Arial"/>
        <w:noProof/>
        <w:sz w:val="20"/>
        <w:szCs w:val="20"/>
        <w14:ligatures w14:val="standardContextual"/>
      </w:rPr>
      <w:drawing>
        <wp:inline distT="0" distB="0" distL="0" distR="0" wp14:anchorId="1EF658D8" wp14:editId="6BBB0885">
          <wp:extent cx="1456267" cy="297632"/>
          <wp:effectExtent l="0" t="0" r="0" b="0"/>
          <wp:docPr id="7416612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61202" name="Picture 7416612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05" cy="32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CE"/>
    <w:rsid w:val="000807A1"/>
    <w:rsid w:val="00083D7F"/>
    <w:rsid w:val="002832CE"/>
    <w:rsid w:val="00A55A66"/>
    <w:rsid w:val="00BC2719"/>
    <w:rsid w:val="00D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EDF"/>
  <w15:chartTrackingRefBased/>
  <w15:docId w15:val="{72C07E90-2BBB-4BDD-BD63-8A4DF778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2C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2832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2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32C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32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32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32C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32C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32C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32C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3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3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32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32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3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3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3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32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3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8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32C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28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32C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832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32CE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832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3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32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32C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32CE"/>
    <w:pPr>
      <w:tabs>
        <w:tab w:val="center" w:pos="4680"/>
        <w:tab w:val="right" w:pos="936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83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832CE"/>
    <w:pPr>
      <w:tabs>
        <w:tab w:val="center" w:pos="4680"/>
        <w:tab w:val="right" w:pos="936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83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ln"/>
    <w:rsid w:val="002832CE"/>
    <w:pPr>
      <w:spacing w:before="100" w:beforeAutospacing="1" w:after="100" w:afterAutospacing="1"/>
    </w:pPr>
    <w:rPr>
      <w:u w:color="000000"/>
      <w:lang w:eastAsia="cs-CZ"/>
    </w:rPr>
  </w:style>
  <w:style w:type="table" w:customStyle="1" w:styleId="TableNormal1">
    <w:name w:val="Table Normal1"/>
    <w:rsid w:val="002832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Standardnpsmoodstavce"/>
    <w:rsid w:val="002832CE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styleId="Hypertextovodkaz">
    <w:name w:val="Hyperlink"/>
    <w:basedOn w:val="Standardnpsmoodstavce"/>
    <w:uiPriority w:val="99"/>
    <w:unhideWhenUsed/>
    <w:rsid w:val="00283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ela.kukanova@crestcom.cz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lectree.cz/aplikace-connect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www.electree.cz" TargetMode="External"/><Relationship Id="rId5" Type="http://schemas.openxmlformats.org/officeDocument/2006/relationships/hyperlink" Target="https://electree.cz/electree-driv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restcom.cz" TargetMode="External"/><Relationship Id="rId4" Type="http://schemas.openxmlformats.org/officeDocument/2006/relationships/hyperlink" Target="http://www.electree.cz" TargetMode="External"/><Relationship Id="rId9" Type="http://schemas.openxmlformats.org/officeDocument/2006/relationships/hyperlink" Target="mailto:michaela.muczkova@crestcom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Muczková</dc:creator>
  <cp:keywords/>
  <dc:description/>
  <cp:lastModifiedBy>Michaela Muczková</cp:lastModifiedBy>
  <cp:revision>1</cp:revision>
  <dcterms:created xsi:type="dcterms:W3CDTF">2026-06-30T08:30:00Z</dcterms:created>
  <dcterms:modified xsi:type="dcterms:W3CDTF">2026-06-30T08:30:00Z</dcterms:modified>
</cp:coreProperties>
</file>